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8" w:space="0" w:color="006600"/>
          <w:left w:val="single" w:sz="48" w:space="0" w:color="006600"/>
          <w:bottom w:val="single" w:sz="48" w:space="0" w:color="006600"/>
          <w:right w:val="single" w:sz="48" w:space="0" w:color="006600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236"/>
      </w:tblGrid>
      <w:tr w:rsidR="00D453FC" w:rsidTr="0071602F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697E9D" w:rsidRPr="00E32DD9" w:rsidRDefault="00697E9D" w:rsidP="00D42375">
            <w:pPr>
              <w:tabs>
                <w:tab w:val="left" w:pos="15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D453FC" w:rsidRPr="00B02CCF" w:rsidRDefault="00D453FC" w:rsidP="008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2375" w:rsidRPr="00042EAF" w:rsidRDefault="00D42375" w:rsidP="00D4237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Pr="00042EAF">
              <w:rPr>
                <w:rFonts w:ascii="Arial" w:hAnsi="Arial"/>
                <w:bCs/>
              </w:rPr>
              <w:t>Benutzung von</w:t>
            </w:r>
          </w:p>
          <w:p w:rsidR="00D453FC" w:rsidRPr="00D42375" w:rsidRDefault="00D42375" w:rsidP="00D42375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2375">
              <w:rPr>
                <w:rFonts w:ascii="Arial" w:hAnsi="Arial"/>
                <w:b/>
                <w:bCs/>
                <w:sz w:val="32"/>
                <w:szCs w:val="32"/>
              </w:rPr>
              <w:t>Gehörschutz im Lärmbereich</w:t>
            </w:r>
          </w:p>
        </w:tc>
        <w:tc>
          <w:tcPr>
            <w:tcW w:w="2757" w:type="dxa"/>
            <w:gridSpan w:val="3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71602F">
        <w:trPr>
          <w:cantSplit/>
          <w:trHeight w:val="250"/>
          <w:jc w:val="center"/>
        </w:trPr>
        <w:tc>
          <w:tcPr>
            <w:tcW w:w="10064" w:type="dxa"/>
            <w:gridSpan w:val="7"/>
            <w:shd w:val="clear" w:color="auto" w:fill="006600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71602F">
        <w:trPr>
          <w:cantSplit/>
          <w:jc w:val="center"/>
        </w:trPr>
        <w:tc>
          <w:tcPr>
            <w:tcW w:w="1347" w:type="dxa"/>
            <w:gridSpan w:val="2"/>
            <w:vAlign w:val="center"/>
          </w:tcPr>
          <w:p w:rsidR="007A0CD3" w:rsidRPr="007A0CD3" w:rsidRDefault="007A0CD3" w:rsidP="00FF7B0D">
            <w:pPr>
              <w:jc w:val="center"/>
            </w:pPr>
          </w:p>
          <w:p w:rsidR="00617D60" w:rsidRDefault="007D298E" w:rsidP="00FF7B0D">
            <w:pPr>
              <w:jc w:val="center"/>
            </w:pPr>
            <w:r w:rsidRPr="00891411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 wp14:anchorId="08DF5F7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5080</wp:posOffset>
                  </wp:positionV>
                  <wp:extent cx="702310" cy="619125"/>
                  <wp:effectExtent l="0" t="0" r="2540" b="9525"/>
                  <wp:wrapNone/>
                  <wp:docPr id="9" name="Grafik 9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"/>
                          <a:stretch/>
                        </pic:blipFill>
                        <pic:spPr bwMode="auto">
                          <a:xfrm>
                            <a:off x="0" y="0"/>
                            <a:ext cx="7023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7D60" w:rsidRPr="00617D60" w:rsidRDefault="00D42375" w:rsidP="00D42375">
            <w: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</w:t>
            </w:r>
            <w:r w:rsidR="004350C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F7B0D" w:rsidRDefault="00FF7B0D" w:rsidP="00FF7B0D">
            <w:pPr>
              <w:jc w:val="center"/>
              <w:rPr>
                <w:noProof/>
              </w:rPr>
            </w:pPr>
          </w:p>
          <w:p w:rsidR="00617D60" w:rsidRDefault="00617D60" w:rsidP="00FF7B0D">
            <w:pPr>
              <w:jc w:val="center"/>
            </w:pPr>
          </w:p>
          <w:p w:rsidR="00346242" w:rsidRPr="00617D60" w:rsidRDefault="00346242" w:rsidP="00FF7B0D">
            <w:pPr>
              <w:jc w:val="center"/>
            </w:pPr>
          </w:p>
        </w:tc>
        <w:tc>
          <w:tcPr>
            <w:tcW w:w="8717" w:type="dxa"/>
            <w:gridSpan w:val="5"/>
          </w:tcPr>
          <w:p w:rsidR="00D42375" w:rsidRDefault="00D42375" w:rsidP="00D42375">
            <w:pPr>
              <w:autoSpaceDE/>
              <w:autoSpaceDN/>
              <w:spacing w:before="20" w:after="2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2375" w:rsidRDefault="00D42375" w:rsidP="00D42375">
            <w:pPr>
              <w:numPr>
                <w:ilvl w:val="0"/>
                <w:numId w:val="7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Bei Nichttragen oder falschem Tragen von Gehörschutz in Lärmbereichen besteht die Gefahr einer bleibenden Schwerhörigkeit.</w:t>
            </w:r>
          </w:p>
          <w:p w:rsidR="001F29F5" w:rsidRPr="001F29F5" w:rsidRDefault="001F29F5" w:rsidP="001F29F5">
            <w:pPr>
              <w:autoSpaceDE/>
              <w:autoSpaceDN/>
              <w:spacing w:before="20" w:after="20"/>
              <w:ind w:left="284"/>
              <w:rPr>
                <w:rFonts w:ascii="Arial" w:hAnsi="Arial" w:cs="Arial"/>
                <w:sz w:val="10"/>
                <w:szCs w:val="10"/>
              </w:rPr>
            </w:pPr>
          </w:p>
          <w:p w:rsidR="00D42375" w:rsidRDefault="00D42375" w:rsidP="00D42375">
            <w:pPr>
              <w:numPr>
                <w:ilvl w:val="0"/>
                <w:numId w:val="7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Diese Schwerhörigkeit kann durch einzelne Lärmspitzen unmittelbar oder durch langjährigen Dauerlärm entstehen.</w:t>
            </w:r>
          </w:p>
          <w:p w:rsidR="001F29F5" w:rsidRPr="001F29F5" w:rsidRDefault="001F29F5" w:rsidP="001F29F5">
            <w:pPr>
              <w:autoSpaceDE/>
              <w:autoSpaceDN/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:rsidR="003D0FEE" w:rsidRPr="00112C81" w:rsidRDefault="00D42375" w:rsidP="00D42375">
            <w:pPr>
              <w:numPr>
                <w:ilvl w:val="0"/>
                <w:numId w:val="7"/>
              </w:numPr>
              <w:autoSpaceDE/>
              <w:autoSpaceDN/>
              <w:spacing w:after="60"/>
              <w:rPr>
                <w:rFonts w:ascii="Arial" w:hAnsi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Nichthören von Warnsignalen beim Tragen von Gehörschutz kann zu Unfällen führen.</w:t>
            </w:r>
          </w:p>
        </w:tc>
      </w:tr>
      <w:tr w:rsidR="00346242" w:rsidTr="0071602F">
        <w:trPr>
          <w:cantSplit/>
          <w:trHeight w:val="184"/>
          <w:jc w:val="center"/>
        </w:trPr>
        <w:tc>
          <w:tcPr>
            <w:tcW w:w="10064" w:type="dxa"/>
            <w:gridSpan w:val="7"/>
            <w:shd w:val="clear" w:color="auto" w:fill="006600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71602F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112C81" w:rsidRPr="00112C81" w:rsidRDefault="00241BF6" w:rsidP="00FF2B00">
            <w:pPr>
              <w:pStyle w:val="Textkrper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</w:rPr>
              <w:t xml:space="preserve"> </w:t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  <w:r w:rsidR="00112C81">
              <w:rPr>
                <w:noProof/>
              </w:rPr>
              <w:t xml:space="preserve">  </w:t>
            </w:r>
          </w:p>
          <w:p w:rsidR="00241BF6" w:rsidRPr="003D0FEE" w:rsidRDefault="00624328" w:rsidP="00FF2B00">
            <w:pPr>
              <w:pStyle w:val="Textkrper"/>
              <w:rPr>
                <w:sz w:val="10"/>
                <w:szCs w:val="10"/>
              </w:rPr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112C81">
              <w:rPr>
                <w:noProof/>
              </w:rPr>
              <w:t xml:space="preserve"> </w:t>
            </w:r>
          </w:p>
          <w:p w:rsidR="00112C81" w:rsidRPr="00112C81" w:rsidRDefault="00112C81" w:rsidP="00E34898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D42375" w:rsidRDefault="00112C81" w:rsidP="00E34898">
            <w:pPr>
              <w:pStyle w:val="Textkrp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 xml:space="preserve">  </w:t>
            </w:r>
            <w:r w:rsidR="00D42375">
              <w:rPr>
                <w:b/>
                <w:bCs/>
                <w:noProof/>
                <w:sz w:val="24"/>
              </w:rPr>
              <w:t xml:space="preserve">                 </w:t>
            </w:r>
          </w:p>
          <w:p w:rsidR="00D42375" w:rsidRDefault="007D298E" w:rsidP="00E34898">
            <w:pPr>
              <w:pStyle w:val="Textkrper"/>
              <w:rPr>
                <w:b/>
                <w:bCs/>
                <w:noProof/>
                <w:sz w:val="24"/>
              </w:rPr>
            </w:pP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248AABC">
                  <wp:simplePos x="0" y="0"/>
                  <wp:positionH relativeFrom="column">
                    <wp:posOffset>45719</wp:posOffset>
                  </wp:positionH>
                  <wp:positionV relativeFrom="paragraph">
                    <wp:posOffset>177165</wp:posOffset>
                  </wp:positionV>
                  <wp:extent cx="771525" cy="771525"/>
                  <wp:effectExtent l="0" t="0" r="9525" b="9525"/>
                  <wp:wrapNone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898" w:rsidRPr="003D0FEE" w:rsidRDefault="00D42375" w:rsidP="00E34898">
            <w:pPr>
              <w:pStyle w:val="Textkrper"/>
              <w:rPr>
                <w:sz w:val="10"/>
                <w:szCs w:val="10"/>
              </w:rPr>
            </w:pPr>
            <w:r>
              <w:rPr>
                <w:b/>
                <w:bCs/>
                <w:noProof/>
                <w:sz w:val="24"/>
              </w:rPr>
              <w:t xml:space="preserve"> </w:t>
            </w:r>
            <w:r w:rsidR="00E34898">
              <w:t xml:space="preserve"> </w:t>
            </w:r>
          </w:p>
          <w:p w:rsidR="00112C81" w:rsidRPr="00112C81" w:rsidRDefault="00E34898" w:rsidP="009F5C19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E34898" w:rsidRPr="006902D5" w:rsidRDefault="00112C81" w:rsidP="009F5C19">
            <w:pPr>
              <w:pStyle w:val="Textkrper"/>
            </w:pPr>
            <w:r>
              <w:t xml:space="preserve"> </w:t>
            </w:r>
            <w:r w:rsidR="00E34898"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D42375" w:rsidRDefault="00D42375" w:rsidP="00D42375">
            <w:pPr>
              <w:pStyle w:val="Textkrper"/>
              <w:ind w:left="360"/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im gekennzeichneten Lärmbereich von allen Personen getragen werden</w:t>
            </w:r>
          </w:p>
          <w:p w:rsidR="00D42375" w:rsidRPr="00D42375" w:rsidRDefault="00D42375" w:rsidP="00D42375">
            <w:pPr>
              <w:pStyle w:val="Textkrper"/>
              <w:ind w:left="360"/>
              <w:rPr>
                <w:sz w:val="8"/>
                <w:szCs w:val="8"/>
              </w:rPr>
            </w:pPr>
          </w:p>
          <w:p w:rsidR="00D42375" w:rsidRPr="007D298E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über alle Lärmphasen getragen werden</w:t>
            </w: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Vor der Benutzung ist der Gehörschutz auf augenscheinliche Mängel zu überprüfen.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richtig eingesetzt oder aufgesetzt werden (siehe Herstellerangaben)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Am Gehörschutz dürfen keine Manipulationen vorgenommen werden.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so ausgewählt werden, dass die Schalldämmung ausreichend hoch ist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Sprachverständlichkeit sollte ermöglicht sein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Bei Gefahr muss die Hörbarkeit von Warnsignalen garantiert sei</w:t>
            </w:r>
            <w:r w:rsidR="007D298E">
              <w:t>n.  Sollte diese Anforderung nicht erfüllt werden, sind optische Blitzlichter einzusetzen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62740B" w:rsidRP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Gehörschutzstöpsel mit Verbindungsschnur dürfen nicht getragen werden, wenn sie von Maschinen erfasst werden können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71602F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241BF6" w:rsidRPr="003D0FEE" w:rsidRDefault="00241BF6" w:rsidP="00D42375">
            <w:pPr>
              <w:pStyle w:val="Textkrper"/>
              <w:spacing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71602F">
        <w:trPr>
          <w:jc w:val="center"/>
        </w:trPr>
        <w:tc>
          <w:tcPr>
            <w:tcW w:w="1347" w:type="dxa"/>
            <w:gridSpan w:val="2"/>
          </w:tcPr>
          <w:p w:rsidR="00241BF6" w:rsidRPr="00617D60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D42375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39232D" w:rsidRPr="004D33E3" w:rsidRDefault="0039232D" w:rsidP="0039232D">
            <w:pPr>
              <w:pStyle w:val="Textkrper"/>
              <w:spacing w:before="120" w:after="120"/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71602F">
        <w:trPr>
          <w:cantSplit/>
          <w:jc w:val="center"/>
        </w:trPr>
        <w:tc>
          <w:tcPr>
            <w:tcW w:w="10064" w:type="dxa"/>
            <w:gridSpan w:val="7"/>
            <w:shd w:val="clear" w:color="auto" w:fill="006600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bookmarkStart w:id="1" w:name="_GoBack"/>
            <w:bookmarkEnd w:id="1"/>
            <w:r w:rsidRPr="00CE1D1F">
              <w:t>Instandhaltung</w:t>
            </w:r>
            <w:r w:rsidR="00D42375">
              <w:t xml:space="preserve"> und Lagerung</w:t>
            </w:r>
          </w:p>
        </w:tc>
      </w:tr>
      <w:tr w:rsidR="00346242" w:rsidTr="0071602F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D42375" w:rsidRDefault="00D42375" w:rsidP="00D42375">
            <w:pPr>
              <w:pStyle w:val="Textkrper"/>
              <w:ind w:left="360"/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Gehörschützer sind in geeigneten Behältern staubdicht aufzubewahren</w:t>
            </w:r>
          </w:p>
          <w:p w:rsidR="00D42375" w:rsidRPr="00D42375" w:rsidRDefault="00D42375" w:rsidP="00D42375">
            <w:pPr>
              <w:pStyle w:val="Textkrper"/>
              <w:ind w:left="360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Sie sind nach den Herstellerangaben regelmäßig zu reinigen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Bei spröden Dichtungskissen an Kapseln sind die Kissen auszuwechseln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241BF6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Mängel an Gehörschützern sind umgehend dem Lehrer zu melden</w:t>
            </w:r>
          </w:p>
          <w:p w:rsidR="00D42375" w:rsidRDefault="00D42375" w:rsidP="00D42375">
            <w:pPr>
              <w:pStyle w:val="Textkrper"/>
              <w:ind w:left="360"/>
            </w:pPr>
          </w:p>
        </w:tc>
        <w:tc>
          <w:tcPr>
            <w:tcW w:w="25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1602F">
              <w:rPr>
                <w:rFonts w:ascii="Arial" w:hAnsi="Arial" w:cs="Arial"/>
                <w:b/>
                <w:noProof/>
                <w:sz w:val="24"/>
                <w:szCs w:val="24"/>
              </w:rPr>
              <w:t>22. September 2022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79" w:rsidRDefault="00165379">
      <w:r>
        <w:separator/>
      </w:r>
    </w:p>
  </w:endnote>
  <w:endnote w:type="continuationSeparator" w:id="0">
    <w:p w:rsidR="00165379" w:rsidRDefault="001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79" w:rsidRDefault="00165379">
      <w:r>
        <w:separator/>
      </w:r>
    </w:p>
  </w:footnote>
  <w:footnote w:type="continuationSeparator" w:id="0">
    <w:p w:rsidR="00165379" w:rsidRDefault="0016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31BCF"/>
    <w:multiLevelType w:val="hybridMultilevel"/>
    <w:tmpl w:val="02DAE7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45776"/>
    <w:multiLevelType w:val="hybridMultilevel"/>
    <w:tmpl w:val="0100BF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408C2"/>
    <w:multiLevelType w:val="hybridMultilevel"/>
    <w:tmpl w:val="5194F8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12C81"/>
    <w:rsid w:val="00165379"/>
    <w:rsid w:val="001C0D40"/>
    <w:rsid w:val="001F29F5"/>
    <w:rsid w:val="00241BF6"/>
    <w:rsid w:val="00285C2D"/>
    <w:rsid w:val="00346242"/>
    <w:rsid w:val="003711AA"/>
    <w:rsid w:val="0039232D"/>
    <w:rsid w:val="00394ADC"/>
    <w:rsid w:val="00395384"/>
    <w:rsid w:val="003C4FCC"/>
    <w:rsid w:val="003D0FEE"/>
    <w:rsid w:val="00405D8F"/>
    <w:rsid w:val="004350C5"/>
    <w:rsid w:val="00435734"/>
    <w:rsid w:val="004519C7"/>
    <w:rsid w:val="00484CB2"/>
    <w:rsid w:val="004C071C"/>
    <w:rsid w:val="004C1693"/>
    <w:rsid w:val="004D33E3"/>
    <w:rsid w:val="006028E2"/>
    <w:rsid w:val="00617D60"/>
    <w:rsid w:val="00624328"/>
    <w:rsid w:val="0062740B"/>
    <w:rsid w:val="00686B99"/>
    <w:rsid w:val="006902D5"/>
    <w:rsid w:val="00697E9D"/>
    <w:rsid w:val="006B406D"/>
    <w:rsid w:val="006E737B"/>
    <w:rsid w:val="00705A3F"/>
    <w:rsid w:val="0071602F"/>
    <w:rsid w:val="00732224"/>
    <w:rsid w:val="0077137A"/>
    <w:rsid w:val="00777BA1"/>
    <w:rsid w:val="007A0CD3"/>
    <w:rsid w:val="007C28BE"/>
    <w:rsid w:val="007D298E"/>
    <w:rsid w:val="00823538"/>
    <w:rsid w:val="008407D4"/>
    <w:rsid w:val="00886FE9"/>
    <w:rsid w:val="008E0750"/>
    <w:rsid w:val="00942C80"/>
    <w:rsid w:val="009F5C19"/>
    <w:rsid w:val="00A03486"/>
    <w:rsid w:val="00A30182"/>
    <w:rsid w:val="00AD759A"/>
    <w:rsid w:val="00B02CCF"/>
    <w:rsid w:val="00BE1662"/>
    <w:rsid w:val="00C26415"/>
    <w:rsid w:val="00CD066D"/>
    <w:rsid w:val="00CE1D1F"/>
    <w:rsid w:val="00D42375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7D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7D60"/>
  </w:style>
  <w:style w:type="paragraph" w:styleId="Listenabsatz">
    <w:name w:val="List Paragraph"/>
    <w:basedOn w:val="Standard"/>
    <w:uiPriority w:val="34"/>
    <w:qFormat/>
    <w:rsid w:val="00D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Gehörschutz</vt:lpstr>
    </vt:vector>
  </TitlesOfParts>
  <Company>TU München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Gehörschutz</dc:title>
  <dc:subject/>
  <dc:creator>Andreas Timpe</dc:creator>
  <cp:keywords/>
  <dc:description/>
  <cp:lastModifiedBy>L002138</cp:lastModifiedBy>
  <cp:revision>2</cp:revision>
  <cp:lastPrinted>2016-01-20T15:13:00Z</cp:lastPrinted>
  <dcterms:created xsi:type="dcterms:W3CDTF">2022-09-22T13:25:00Z</dcterms:created>
  <dcterms:modified xsi:type="dcterms:W3CDTF">2022-09-22T13:25:00Z</dcterms:modified>
</cp:coreProperties>
</file>