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82"/>
        <w:gridCol w:w="709"/>
        <w:gridCol w:w="1559"/>
        <w:gridCol w:w="4254"/>
        <w:gridCol w:w="930"/>
        <w:gridCol w:w="1479"/>
      </w:tblGrid>
      <w:tr w:rsidR="00F56BB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346" w:type="dxa"/>
            <w:gridSpan w:val="2"/>
            <w:tcBorders>
              <w:top w:val="single" w:sz="48" w:space="0" w:color="FFFF00"/>
              <w:left w:val="single" w:sz="48" w:space="0" w:color="FFFF00"/>
              <w:right w:val="single" w:sz="48" w:space="0" w:color="FFFF00"/>
            </w:tcBorders>
            <w:shd w:val="clear" w:color="auto" w:fill="FFFFFF"/>
          </w:tcPr>
          <w:p w:rsidR="00F56BB1" w:rsidRDefault="00F56BB1">
            <w:pPr>
              <w:pStyle w:val="berschrift1"/>
              <w:rPr>
                <w:sz w:val="20"/>
              </w:rPr>
            </w:pPr>
            <w:bookmarkStart w:id="0" w:name="_GoBack"/>
            <w:r>
              <w:rPr>
                <w:sz w:val="20"/>
              </w:rPr>
              <w:t>Schutzst</w:t>
            </w:r>
            <w:r>
              <w:rPr>
                <w:sz w:val="20"/>
              </w:rPr>
              <w:t>u</w:t>
            </w:r>
            <w:r>
              <w:rPr>
                <w:sz w:val="20"/>
              </w:rPr>
              <w:t>fe</w:t>
            </w:r>
          </w:p>
          <w:p w:rsidR="00F56BB1" w:rsidRDefault="00F56BB1">
            <w:pPr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7452" w:type="dxa"/>
            <w:gridSpan w:val="4"/>
            <w:tcBorders>
              <w:top w:val="single" w:sz="48" w:space="0" w:color="FFFF00"/>
              <w:left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pStyle w:val="berschrift2"/>
            </w:pPr>
            <w:r>
              <w:t>BETRIEBSANWEISUNG</w:t>
            </w:r>
          </w:p>
          <w:p w:rsidR="00F56BB1" w:rsidRDefault="00F56BB1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arbeitsbereichsbezogen nach §12 (1) BiostoffV</w:t>
            </w:r>
          </w:p>
        </w:tc>
        <w:tc>
          <w:tcPr>
            <w:tcW w:w="1479" w:type="dxa"/>
            <w:tcBorders>
              <w:top w:val="single" w:sz="48" w:space="0" w:color="FFFF00"/>
              <w:left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Stand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 w:rsidR="0047602C">
              <w:rPr>
                <w:sz w:val="24"/>
              </w:rPr>
              <w:instrText>TIME</w:instrText>
            </w:r>
            <w:r>
              <w:rPr>
                <w:sz w:val="24"/>
              </w:rPr>
              <w:instrText xml:space="preserve"> \@ "</w:instrText>
            </w:r>
            <w:r w:rsidR="0047602C">
              <w:rPr>
                <w:sz w:val="24"/>
              </w:rPr>
              <w:instrText>dd.MM.yyyy</w:instrText>
            </w:r>
            <w:r>
              <w:rPr>
                <w:sz w:val="24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="0047602C">
              <w:rPr>
                <w:noProof/>
                <w:sz w:val="24"/>
              </w:rPr>
              <w:t>14.10.2016</w:t>
            </w:r>
            <w:r>
              <w:rPr>
                <w:sz w:val="24"/>
              </w:rPr>
              <w:fldChar w:fldCharType="end"/>
            </w:r>
          </w:p>
        </w:tc>
      </w:tr>
      <w:tr w:rsidR="00F56BB1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7"/>
            <w:tcBorders>
              <w:left w:val="single" w:sz="48" w:space="0" w:color="FFFF00"/>
              <w:bottom w:val="single" w:sz="2" w:space="0" w:color="FFFF00"/>
              <w:right w:val="single" w:sz="48" w:space="0" w:color="FFFF00"/>
            </w:tcBorders>
            <w:shd w:val="clear" w:color="auto" w:fill="FFFF00"/>
          </w:tcPr>
          <w:p w:rsidR="00F56BB1" w:rsidRDefault="00F56BB1">
            <w:pPr>
              <w:pStyle w:val="TitelOhne"/>
              <w:pBdr>
                <w:top w:val="single" w:sz="2" w:space="1" w:color="FFFF00"/>
                <w:bottom w:val="none" w:sz="0" w:space="0" w:color="auto"/>
              </w:pBdr>
              <w:shd w:val="clear" w:color="auto" w:fill="FFFF00"/>
              <w:tabs>
                <w:tab w:val="left" w:pos="1324"/>
                <w:tab w:val="center" w:pos="5068"/>
              </w:tabs>
              <w:jc w:val="left"/>
              <w:rPr>
                <w:color w:val="auto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color w:val="auto"/>
                <w:sz w:val="24"/>
              </w:rPr>
              <w:t>GEFAHRENBEZEICHNUNG</w:t>
            </w:r>
          </w:p>
        </w:tc>
      </w:tr>
      <w:tr w:rsidR="00F56BB1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7"/>
            <w:tcBorders>
              <w:top w:val="single" w:sz="2" w:space="0" w:color="FFFF00"/>
              <w:left w:val="single" w:sz="48" w:space="0" w:color="FFFF00"/>
              <w:bottom w:val="single" w:sz="2" w:space="0" w:color="FFFF00"/>
              <w:right w:val="single" w:sz="48" w:space="0" w:color="FFFF00"/>
            </w:tcBorders>
          </w:tcPr>
          <w:p w:rsidR="00F56BB1" w:rsidRDefault="00F56BB1">
            <w:pPr>
              <w:pStyle w:val="Titel"/>
              <w:spacing w:before="0" w:after="0"/>
              <w:rPr>
                <w:sz w:val="20"/>
              </w:rPr>
            </w:pPr>
            <w:bookmarkStart w:id="1" w:name="StoffBezeichnung"/>
            <w:bookmarkEnd w:id="1"/>
            <w:r>
              <w:rPr>
                <w:sz w:val="20"/>
              </w:rPr>
              <w:t>Gezielte Tätigkeiten mit biologischen Arbeitsstoffen der Risikogruppe 1</w:t>
            </w:r>
          </w:p>
          <w:p w:rsidR="00F56BB1" w:rsidRDefault="00F56BB1">
            <w:pPr>
              <w:pStyle w:val="Titel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ohne sensibilisierende oder toxische Wirkung </w:t>
            </w:r>
          </w:p>
          <w:p w:rsidR="00F56BB1" w:rsidRDefault="00F56BB1">
            <w:pPr>
              <w:pStyle w:val="Titel"/>
              <w:spacing w:before="0" w:after="0"/>
              <w:rPr>
                <w:b w:val="0"/>
                <w:sz w:val="24"/>
              </w:rPr>
            </w:pPr>
            <w:r>
              <w:rPr>
                <w:sz w:val="20"/>
              </w:rPr>
              <w:t>oder nicht gezielte Tätigkeiten mit vergleichb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rer Gefährdung</w:t>
            </w:r>
          </w:p>
        </w:tc>
      </w:tr>
      <w:tr w:rsidR="00F56BB1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7"/>
            <w:tcBorders>
              <w:top w:val="single" w:sz="2" w:space="0" w:color="FFFF00"/>
              <w:left w:val="single" w:sz="48" w:space="0" w:color="FFFF00"/>
              <w:bottom w:val="single" w:sz="2" w:space="0" w:color="FFFF00"/>
              <w:right w:val="single" w:sz="48" w:space="0" w:color="FFFF00"/>
            </w:tcBorders>
            <w:shd w:val="clear" w:color="auto" w:fill="FFFF00"/>
          </w:tcPr>
          <w:p w:rsidR="00F56BB1" w:rsidRDefault="00F56BB1">
            <w:pPr>
              <w:pStyle w:val="TitelOhne"/>
              <w:pBdr>
                <w:top w:val="single" w:sz="2" w:space="1" w:color="FFFF00"/>
                <w:bottom w:val="single" w:sz="2" w:space="1" w:color="FFFF00"/>
              </w:pBdr>
              <w:shd w:val="clear" w:color="auto" w:fill="FFFF00"/>
              <w:rPr>
                <w:color w:val="auto"/>
              </w:rPr>
            </w:pPr>
            <w:r>
              <w:rPr>
                <w:color w:val="auto"/>
                <w:sz w:val="24"/>
              </w:rPr>
              <w:t>GEFAHREN FÜR MENSCHEN</w:t>
            </w:r>
          </w:p>
        </w:tc>
      </w:tr>
      <w:tr w:rsidR="00F56B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64" w:type="dxa"/>
            <w:tcBorders>
              <w:top w:val="single" w:sz="2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spacing w:before="0" w:after="0"/>
              <w:rPr>
                <w:noProof/>
              </w:rPr>
            </w:pPr>
          </w:p>
          <w:p w:rsidR="00F56BB1" w:rsidRDefault="00F56BB1">
            <w:pPr>
              <w:pStyle w:val="Zeichnung"/>
              <w:spacing w:before="0" w:after="0"/>
            </w:pPr>
          </w:p>
        </w:tc>
        <w:tc>
          <w:tcPr>
            <w:tcW w:w="9213" w:type="dxa"/>
            <w:gridSpan w:val="6"/>
            <w:tcBorders>
              <w:top w:val="single" w:sz="2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pStyle w:val="BA20-Feld0"/>
              <w:spacing w:before="0" w:after="40"/>
              <w:jc w:val="left"/>
              <w:rPr>
                <w:sz w:val="16"/>
              </w:rPr>
            </w:pPr>
            <w:r>
              <w:rPr>
                <w:sz w:val="16"/>
              </w:rPr>
              <w:t>Bei biologischen Arbeitsstoffen der Risikogruppe 1 (Bakterien) ist es unwahrscheinlich, dass sie bei Einwirkung auf den menschlichen Körper Infektionen und Erkrankungen verursachen. Ein allergenes und toxisches Potenzial ist ebenfalls unwah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scheinlich.</w:t>
            </w:r>
          </w:p>
          <w:p w:rsidR="00F56BB1" w:rsidRDefault="00F56BB1">
            <w:pPr>
              <w:pStyle w:val="Textkrper"/>
            </w:pPr>
            <w:r>
              <w:t>Da es jedoch nie ganz auszuschließen ist, dass sich bei Untersuchungen nicht pathogener Keime ausnahmsweise auch path</w:t>
            </w:r>
            <w:r>
              <w:t>o</w:t>
            </w:r>
            <w:r>
              <w:t>gene entwickeln, sollte stets so ve</w:t>
            </w:r>
            <w:r>
              <w:t>r</w:t>
            </w:r>
            <w:r>
              <w:t>fahren werden, als ob mit pathogenem Material gearbeitet wird.</w:t>
            </w:r>
          </w:p>
          <w:p w:rsidR="00F56BB1" w:rsidRDefault="00F56BB1">
            <w:pPr>
              <w:pStyle w:val="BA20-Feld0"/>
              <w:spacing w:before="0" w:after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Die Aufnahme in den Körper kann durch </w:t>
            </w:r>
            <w:r>
              <w:rPr>
                <w:b/>
                <w:i/>
                <w:sz w:val="16"/>
              </w:rPr>
              <w:t>Inhalation</w:t>
            </w:r>
            <w:r>
              <w:rPr>
                <w:sz w:val="16"/>
              </w:rPr>
              <w:t xml:space="preserve"> von Aerosolen, </w:t>
            </w:r>
            <w:r>
              <w:rPr>
                <w:b/>
                <w:i/>
                <w:sz w:val="16"/>
              </w:rPr>
              <w:t>Verschlucken</w:t>
            </w:r>
            <w:r>
              <w:rPr>
                <w:sz w:val="16"/>
              </w:rPr>
              <w:t xml:space="preserve"> von Probenmaterial, </w:t>
            </w:r>
            <w:r>
              <w:rPr>
                <w:b/>
                <w:i/>
                <w:sz w:val="16"/>
              </w:rPr>
              <w:t>Eindringen</w:t>
            </w:r>
            <w:r>
              <w:rPr>
                <w:sz w:val="16"/>
              </w:rPr>
              <w:t xml:space="preserve"> von Mikr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organismen in best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hende oder verletzungsbedingte Hautschäden oder beim </w:t>
            </w:r>
            <w:r>
              <w:rPr>
                <w:b/>
                <w:i/>
                <w:sz w:val="16"/>
              </w:rPr>
              <w:t xml:space="preserve">Verspritzen </w:t>
            </w:r>
            <w:r>
              <w:rPr>
                <w:sz w:val="16"/>
              </w:rPr>
              <w:t>der Probe, über das Auge und die Schleimhäute erfolgen.</w:t>
            </w:r>
          </w:p>
          <w:p w:rsidR="00F56BB1" w:rsidRDefault="00F56BB1">
            <w:pPr>
              <w:pStyle w:val="BA20-Feld0"/>
              <w:spacing w:before="0" w:after="40"/>
              <w:jc w:val="left"/>
              <w:rPr>
                <w:sz w:val="16"/>
              </w:rPr>
            </w:pPr>
            <w:r>
              <w:rPr>
                <w:sz w:val="16"/>
              </w:rPr>
              <w:t>Bei vielen Labortätigkeiten (z.B. Umfüllen, Ausplattieren, Anfertigen von Verdünnungsreihen, Pipe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>tieren, Mischen) können Aerosole (unsichtbare, feinste schwebende Tröpfchen) entstehen. Infektionsmöglichkeiten bestehen bei Inhalation dieser Aer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 xml:space="preserve">sole oder Kontakt mit deren Niederschlag auf Oberflächen. </w:t>
            </w:r>
          </w:p>
        </w:tc>
      </w:tr>
      <w:tr w:rsidR="00F56BB1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7"/>
            <w:tcBorders>
              <w:top w:val="single" w:sz="48" w:space="0" w:color="FFFF00"/>
              <w:left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pStyle w:val="TitelOhne"/>
              <w:pBdr>
                <w:top w:val="single" w:sz="2" w:space="1" w:color="FFFF00"/>
                <w:bottom w:val="single" w:sz="2" w:space="1" w:color="FFFF00"/>
              </w:pBdr>
              <w:shd w:val="clear" w:color="auto" w:fill="FFFF00"/>
              <w:tabs>
                <w:tab w:val="left" w:pos="1749"/>
                <w:tab w:val="center" w:pos="5068"/>
              </w:tabs>
              <w:jc w:val="left"/>
              <w:rPr>
                <w:color w:val="auto"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color w:val="auto"/>
                <w:sz w:val="16"/>
              </w:rPr>
              <w:tab/>
              <w:t>SCHUTZMASSNAHMEN UND VERHALTENSREGELN</w:t>
            </w:r>
          </w:p>
        </w:tc>
      </w:tr>
      <w:bookmarkStart w:id="2" w:name="_MON_1009346002"/>
      <w:bookmarkStart w:id="3" w:name="_MON_1208465172"/>
      <w:bookmarkEnd w:id="2"/>
      <w:bookmarkEnd w:id="3"/>
      <w:tr w:rsidR="00F56B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64" w:type="dxa"/>
            <w:tcBorders>
              <w:left w:val="single" w:sz="48" w:space="0" w:color="FFFF00"/>
              <w:bottom w:val="single" w:sz="2" w:space="0" w:color="FFFF00"/>
              <w:right w:val="single" w:sz="48" w:space="0" w:color="FFFF00"/>
            </w:tcBorders>
          </w:tcPr>
          <w:p w:rsidR="00F56BB1" w:rsidRDefault="00F56BB1">
            <w:pPr>
              <w:pStyle w:val="Zeichnung"/>
              <w:spacing w:before="0" w:after="0"/>
            </w:pPr>
            <w:r>
              <w:object w:dxaOrig="913" w:dyaOrig="9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5" o:title=""/>
                </v:shape>
                <o:OLEObject Type="Embed" ProgID="Word.Picture.8" ShapeID="_x0000_i1025" DrawAspect="Content" ObjectID="_1537936661" r:id="rId6"/>
              </w:object>
            </w:r>
            <w:r w:rsidR="0047602C"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BB1" w:rsidRDefault="0047602C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BB1" w:rsidRDefault="00F56BB1">
            <w:pPr>
              <w:pStyle w:val="Zeichnung"/>
              <w:spacing w:before="0" w:after="0"/>
            </w:pPr>
            <w:r>
              <w:t>,</w:t>
            </w:r>
          </w:p>
        </w:tc>
        <w:tc>
          <w:tcPr>
            <w:tcW w:w="9213" w:type="dxa"/>
            <w:gridSpan w:val="6"/>
            <w:tcBorders>
              <w:left w:val="single" w:sz="48" w:space="0" w:color="FFFF00"/>
              <w:bottom w:val="single" w:sz="2" w:space="0" w:color="FFFF00"/>
              <w:right w:val="single" w:sz="48" w:space="0" w:color="FFFF00"/>
            </w:tcBorders>
          </w:tcPr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Tätigkeiten mit biologischen Arbeitsstoffen der </w:t>
            </w:r>
            <w:r>
              <w:rPr>
                <w:bCs/>
                <w:sz w:val="16"/>
              </w:rPr>
              <w:t xml:space="preserve">Risikogruppe 1 </w:t>
            </w:r>
            <w:r>
              <w:rPr>
                <w:sz w:val="16"/>
              </w:rPr>
              <w:t>dürfen ausschließlich im Biologieraum durchg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führt werden.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Zutritt zum Biologieraum  haben nur Personen, die vom Fachlehrer hierzu ermächtigt werden. 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Im Biologieraum ist ein geschlossener Laborkittel, festes und geschlossenes Schuhwerk zu tragen. Bei Augengefäh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dung ist eine Schutzbrille zu tragen. Die Schutzkleidung darf nur in den Arbeitsräumen getragen werden und ist beim Ve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lassen des Labors abzulegen. Verschmutzte Schutzkleidung ist für die Reinigung in dafür vo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gesehenen und gekennzeichneten Säcken zu sa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>meln.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Garderobe und Schulsachen sind außerhalb des Biologieraums zu lagern. In den Biologieraum werden nur notwenige U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terlagen mitgenommen.</w:t>
            </w:r>
          </w:p>
          <w:p w:rsidR="00F56BB1" w:rsidRDefault="00F56BB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rPr>
                <w:sz w:val="16"/>
              </w:rPr>
            </w:pPr>
            <w:r>
              <w:rPr>
                <w:sz w:val="16"/>
              </w:rPr>
              <w:t>Im Labor nicht Essen, Rauchen, Trinken, Kaugummi kauen oder Kosmetika auftragen. Lebensmittel nicht im Labor aufb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wahren. Schleimhäute von Mund, Augen und Nase nicht mit Gegenständen oder Händen berü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ren, die durch die Arbeit mit Mikroorgani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men kontaminiert sein können.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Fenster und Türen des Biologieraums sind während der Tätigkeiten geschlossen zu halten. Zugluft ist zu ve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meiden.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Sauberkeit und Ordnung am Arbeitsplatz sind oberstes Gebot. </w:t>
            </w:r>
            <w:r>
              <w:rPr>
                <w:sz w:val="16"/>
              </w:rPr>
              <w:br/>
              <w:t>An den Arbeitsplätzen sollen nur die tatsächlich benötigten Geräte und Materialien st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Der Arbeitsplatz wird vor und nach der Arbeit aufgeräumt, gereinigt und mit Desinfektionsmittel (80% Ethanol) gere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nigt.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Jedes Experiment wird vor Versuchsbeginn mit einem Lehrer abgesprochen. Es wird nur von Arbeitsvorschriften abgew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chen, wenn diese Änderungen mit einem Lehrer besprochen wurden.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Es wird nur mit Kulturvolumina kleiner 50 ml gearbeitet. Größere Volumina müssen genehmigt werden. </w:t>
            </w:r>
            <w:r>
              <w:rPr>
                <w:sz w:val="16"/>
              </w:rPr>
              <w:br/>
              <w:t>Diese Genehmigung erteilt ein Lehrer.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Anreicherungen von nicht definierten Bakterien sind verboten. </w:t>
            </w:r>
            <w:r>
              <w:rPr>
                <w:sz w:val="16"/>
              </w:rPr>
              <w:br/>
              <w:t>Unerwartete Versuchsergebnisse werden sofort einem Lehrer g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meldet.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Aerosolbildung z. B. beim Pipettieren o.Zentrifugieren ist zu vermeiden.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Mundpipettieren ist verboten. Zum Pipettieren ausschließlich Pipettierhilfe benutzen. Spritzen und Kanülen sollen mö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>lichst nicht eingesetzt werden.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Beim Verlassen des Labors und nach jedem Hautkontakt mit Material sind die Hände zu desinfizieren und zu waschen. Danach ist eine Handpflege gem. Hautschutzplan vorzune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men.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Mikroorganismen dürfen nur in gekennzeichneten, verschlossenen und gegen Bruch geschützten Behältern innerbetrie</w:t>
            </w:r>
            <w:r>
              <w:rPr>
                <w:sz w:val="16"/>
              </w:rPr>
              <w:t>b</w:t>
            </w:r>
            <w:r>
              <w:rPr>
                <w:sz w:val="16"/>
              </w:rPr>
              <w:t>lich transpo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 xml:space="preserve">tiert werden. 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Schüler und unerfahrene Mitarbeiter sind sorgfältig anzuleiten.</w:t>
            </w:r>
          </w:p>
          <w:p w:rsidR="00F56BB1" w:rsidRDefault="00F56BB1">
            <w:pPr>
              <w:pStyle w:val="BA20-Feld0"/>
              <w:numPr>
                <w:ilvl w:val="0"/>
                <w:numId w:val="26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Ungeziefer muss, wenn nötig, fachkundig bekämpft werden.</w:t>
            </w:r>
          </w:p>
        </w:tc>
      </w:tr>
      <w:tr w:rsidR="00F56BB1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3"/>
            <w:tcBorders>
              <w:top w:val="single" w:sz="2" w:space="0" w:color="FFFF00"/>
              <w:left w:val="single" w:sz="48" w:space="0" w:color="FFFF00"/>
              <w:bottom w:val="single" w:sz="2" w:space="0" w:color="FFFF00"/>
            </w:tcBorders>
            <w:shd w:val="clear" w:color="auto" w:fill="FFFF00"/>
          </w:tcPr>
          <w:p w:rsidR="00F56BB1" w:rsidRDefault="00F56BB1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00"/>
              <w:jc w:val="left"/>
              <w:rPr>
                <w:sz w:val="24"/>
              </w:rPr>
            </w:pPr>
          </w:p>
        </w:tc>
        <w:tc>
          <w:tcPr>
            <w:tcW w:w="5813" w:type="dxa"/>
            <w:gridSpan w:val="2"/>
            <w:tcBorders>
              <w:top w:val="single" w:sz="2" w:space="0" w:color="FFFF00"/>
              <w:bottom w:val="single" w:sz="2" w:space="0" w:color="FFFF00"/>
            </w:tcBorders>
            <w:shd w:val="clear" w:color="auto" w:fill="FFFF00"/>
          </w:tcPr>
          <w:p w:rsidR="00F56BB1" w:rsidRDefault="00F56BB1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0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VERHALTEN IM GEFAHRFALL</w:t>
            </w:r>
          </w:p>
        </w:tc>
        <w:tc>
          <w:tcPr>
            <w:tcW w:w="2409" w:type="dxa"/>
            <w:gridSpan w:val="2"/>
            <w:tcBorders>
              <w:top w:val="single" w:sz="2" w:space="0" w:color="FFFF00"/>
              <w:bottom w:val="single" w:sz="2" w:space="0" w:color="FFFF00"/>
              <w:right w:val="single" w:sz="48" w:space="0" w:color="FFFF00"/>
            </w:tcBorders>
            <w:shd w:val="clear" w:color="auto" w:fill="FFFF00"/>
          </w:tcPr>
          <w:p w:rsidR="00F56BB1" w:rsidRDefault="00F56BB1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Interner Alarm: 99 </w:t>
            </w:r>
          </w:p>
        </w:tc>
      </w:tr>
      <w:tr w:rsidR="00F56B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64" w:type="dxa"/>
            <w:tcBorders>
              <w:top w:val="single" w:sz="2" w:space="0" w:color="FFFF00"/>
              <w:left w:val="single" w:sz="48" w:space="0" w:color="FFFF00"/>
              <w:bottom w:val="single" w:sz="2" w:space="0" w:color="FFFF00"/>
              <w:right w:val="single" w:sz="48" w:space="0" w:color="FFFF00"/>
            </w:tcBorders>
          </w:tcPr>
          <w:p w:rsidR="00F56BB1" w:rsidRDefault="0047602C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top w:val="single" w:sz="2" w:space="0" w:color="FFFF00"/>
              <w:left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pStyle w:val="BA20-Feld0"/>
              <w:numPr>
                <w:ilvl w:val="0"/>
                <w:numId w:val="27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Verschüttete Kulturen werden mit einem saugfähigen Papiertuch aufgenommen; kontaminierte Stellen werden sofort de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infiziert (80% Ethanol). Anschießend ist eine Reinigung gemäß Hygi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 xml:space="preserve">neplan durchzuführen. </w:t>
            </w:r>
          </w:p>
          <w:p w:rsidR="00F56BB1" w:rsidRDefault="00F56BB1">
            <w:pPr>
              <w:pStyle w:val="BA20-Feld0"/>
              <w:numPr>
                <w:ilvl w:val="0"/>
                <w:numId w:val="27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Fenster und Türen sind bis zum Abschluss der Reinigungsaktion geschlossen zu halten. Der Zutritt Unbefugter ist zu verhi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dern.</w:t>
            </w:r>
          </w:p>
          <w:p w:rsidR="00F56BB1" w:rsidRDefault="00F56BB1">
            <w:pPr>
              <w:pStyle w:val="BA20-Feld0"/>
              <w:numPr>
                <w:ilvl w:val="0"/>
                <w:numId w:val="27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Sämtliche kontaminierten Gegenstände sind in Entsorgungsbeutel zu sammeln und zu autoklavi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ren.</w:t>
            </w:r>
          </w:p>
        </w:tc>
      </w:tr>
      <w:tr w:rsidR="00F56B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4" w:type="dxa"/>
            <w:gridSpan w:val="4"/>
            <w:tcBorders>
              <w:left w:val="single" w:sz="48" w:space="0" w:color="FFFF00"/>
            </w:tcBorders>
            <w:shd w:val="clear" w:color="auto" w:fill="FFFF00"/>
          </w:tcPr>
          <w:p w:rsidR="00F56BB1" w:rsidRDefault="00F56BB1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0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2" w:space="0" w:color="FFFF00"/>
              <w:left w:val="nil"/>
              <w:right w:val="single" w:sz="48" w:space="0" w:color="FFFF00"/>
            </w:tcBorders>
            <w:shd w:val="clear" w:color="auto" w:fill="FFFF00"/>
          </w:tcPr>
          <w:p w:rsidR="00F56BB1" w:rsidRDefault="00F56BB1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00"/>
              <w:rPr>
                <w:bCs/>
                <w:color w:val="auto"/>
                <w:sz w:val="24"/>
                <w:highlight w:val="magenta"/>
              </w:rPr>
            </w:pPr>
            <w:r>
              <w:rPr>
                <w:bCs/>
                <w:color w:val="auto"/>
                <w:sz w:val="24"/>
              </w:rPr>
              <w:t>Erste Hilfe</w:t>
            </w:r>
          </w:p>
        </w:tc>
        <w:tc>
          <w:tcPr>
            <w:tcW w:w="2409" w:type="dxa"/>
            <w:gridSpan w:val="2"/>
            <w:tcBorders>
              <w:top w:val="single" w:sz="2" w:space="0" w:color="FFFF00"/>
              <w:left w:val="single" w:sz="48" w:space="0" w:color="FFFF00"/>
              <w:right w:val="single" w:sz="48" w:space="0" w:color="FFFF00"/>
            </w:tcBorders>
            <w:shd w:val="clear" w:color="auto" w:fill="FFFF00"/>
          </w:tcPr>
          <w:p w:rsidR="00F56BB1" w:rsidRDefault="00F56BB1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 0-112</w:t>
            </w:r>
          </w:p>
        </w:tc>
      </w:tr>
      <w:tr w:rsidR="00F56B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64" w:type="dxa"/>
            <w:tcBorders>
              <w:left w:val="single" w:sz="48" w:space="0" w:color="FFFF00"/>
              <w:bottom w:val="single" w:sz="2" w:space="0" w:color="FFFF00"/>
              <w:right w:val="single" w:sz="48" w:space="0" w:color="FFFF00"/>
            </w:tcBorders>
          </w:tcPr>
          <w:p w:rsidR="00F56BB1" w:rsidRDefault="0047602C">
            <w:pPr>
              <w:tabs>
                <w:tab w:val="left" w:pos="1702"/>
              </w:tabs>
              <w:spacing w:before="0" w:after="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6"/>
            <w:tcBorders>
              <w:left w:val="single" w:sz="48" w:space="0" w:color="FFFF00"/>
              <w:bottom w:val="single" w:sz="2" w:space="0" w:color="FFFF00"/>
              <w:right w:val="single" w:sz="48" w:space="0" w:color="FFFF00"/>
            </w:tcBorders>
          </w:tcPr>
          <w:p w:rsidR="00F56BB1" w:rsidRDefault="00F56BB1">
            <w:pPr>
              <w:pStyle w:val="BA20-Feld0"/>
              <w:numPr>
                <w:ilvl w:val="0"/>
                <w:numId w:val="24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Benetzte Kleidung (auch Unterkleidung) sofort ausziehen und erst nach desinfizierender Reinigung wieder verwe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den.</w:t>
            </w:r>
          </w:p>
          <w:p w:rsidR="00F56BB1" w:rsidRDefault="00F56BB1">
            <w:pPr>
              <w:pStyle w:val="BA20-Feld0"/>
              <w:numPr>
                <w:ilvl w:val="0"/>
                <w:numId w:val="24"/>
              </w:numPr>
              <w:spacing w:before="0" w:after="0"/>
              <w:jc w:val="left"/>
              <w:rPr>
                <w:sz w:val="18"/>
              </w:rPr>
            </w:pPr>
            <w:r>
              <w:rPr>
                <w:sz w:val="16"/>
              </w:rPr>
              <w:t>Offene Wunde ausspülen, möglichst ausbluten lassen und sofort mit Wund-Desinfektionsmittel einsprühen, Desinfektion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mittel ggf. nachdosi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ren und nach Vorschrift, mindestens jedoch 30 Minuten einwirken lassen.</w:t>
            </w:r>
          </w:p>
          <w:p w:rsidR="00F56BB1" w:rsidRDefault="00F56BB1">
            <w:pPr>
              <w:pStyle w:val="BA20-Feld0"/>
              <w:numPr>
                <w:ilvl w:val="0"/>
                <w:numId w:val="24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Bei Spritzer ins Auge mit der Augendusche intensiv spülen. </w:t>
            </w:r>
          </w:p>
          <w:p w:rsidR="00F56BB1" w:rsidRDefault="00F56BB1">
            <w:pPr>
              <w:pStyle w:val="BA20-Feld0"/>
              <w:numPr>
                <w:ilvl w:val="0"/>
                <w:numId w:val="24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Gelangt erregerhaltiges Material in den Mund, sofort ausspucken und gründlich mit ...... gurgeln. </w:t>
            </w:r>
          </w:p>
          <w:p w:rsidR="00F56BB1" w:rsidRDefault="00F56BB1">
            <w:pPr>
              <w:pStyle w:val="BA20-Feld0"/>
              <w:numPr>
                <w:ilvl w:val="0"/>
                <w:numId w:val="24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Verletzungen sind sofort dem zuständigen Vorgesetzten zu melden und in das Verbandbuch ei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 xml:space="preserve">zutragen. </w:t>
            </w:r>
          </w:p>
          <w:p w:rsidR="00F56BB1" w:rsidRDefault="00F56BB1">
            <w:pPr>
              <w:pStyle w:val="BA20-Feld0"/>
              <w:numPr>
                <w:ilvl w:val="0"/>
                <w:numId w:val="24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Bei intensivem Kontakt (z.B. Verschlucken, Einatmen, Inkorporation durch Verletzungen) Arzt au</w:t>
            </w:r>
            <w:r>
              <w:rPr>
                <w:sz w:val="16"/>
              </w:rPr>
              <w:t>f</w:t>
            </w:r>
            <w:r>
              <w:rPr>
                <w:sz w:val="16"/>
              </w:rPr>
              <w:t xml:space="preserve">suchen. </w:t>
            </w:r>
          </w:p>
        </w:tc>
      </w:tr>
      <w:tr w:rsidR="00F56BB1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7"/>
            <w:tcBorders>
              <w:top w:val="single" w:sz="2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pStyle w:val="TitelOh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00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SACHGERECHTE ENTSORGUNG</w:t>
            </w:r>
          </w:p>
        </w:tc>
      </w:tr>
      <w:tr w:rsidR="00F56BB1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64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spacing w:before="0" w:after="0"/>
              <w:ind w:left="360"/>
              <w:rPr>
                <w:sz w:val="24"/>
              </w:rPr>
            </w:pPr>
            <w:r>
              <w:rPr>
                <w:noProof/>
                <w:sz w:val="20"/>
              </w:rPr>
              <w:object w:dxaOrig="1440" w:dyaOrig="1440">
                <v:shape id="_x0000_s1028" type="#_x0000_t75" style="position:absolute;left:0;text-align:left;margin-left:0;margin-top:0;width:45.15pt;height:33.45pt;z-index:251657728;mso-position-horizontal-relative:text;mso-position-vertical-relative:text" fillcolor="window">
                  <v:imagedata r:id="rId11" o:title=""/>
                  <w10:wrap type="topAndBottom"/>
                </v:shape>
                <o:OLEObject Type="Embed" ProgID="Word.Picture.8" ShapeID="_x0000_s1028" DrawAspect="Content" ObjectID="_1537936662" r:id="rId12"/>
              </w:object>
            </w:r>
          </w:p>
        </w:tc>
        <w:tc>
          <w:tcPr>
            <w:tcW w:w="9213" w:type="dxa"/>
            <w:gridSpan w:val="6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:rsidR="00F56BB1" w:rsidRDefault="00F56BB1">
            <w:pPr>
              <w:pStyle w:val="BA20-Feld0"/>
              <w:numPr>
                <w:ilvl w:val="0"/>
                <w:numId w:val="28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Alle Anzüchtungen werden nur solange gelagert, wie es unbedingt für das Experiment erforderlich ist. Am Ende des Exp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rimentes werden die Organismen und alle Gefäße autoklaviert, die mit ihnen in Berührung gekommen sind.</w:t>
            </w:r>
          </w:p>
          <w:p w:rsidR="00F56BB1" w:rsidRDefault="00F56BB1">
            <w:pPr>
              <w:pStyle w:val="BA20-Feld0"/>
              <w:numPr>
                <w:ilvl w:val="0"/>
                <w:numId w:val="28"/>
              </w:numPr>
              <w:spacing w:before="0" w:after="0"/>
              <w:rPr>
                <w:sz w:val="16"/>
              </w:rPr>
            </w:pPr>
            <w:r>
              <w:rPr>
                <w:sz w:val="16"/>
              </w:rPr>
              <w:t>Bei Versuchen mit Milchsäurebakterien und Bäckerhefe werden die benutzten Pipetten und andere Glasgeräte im Stan</w:t>
            </w:r>
            <w:r>
              <w:rPr>
                <w:sz w:val="16"/>
              </w:rPr>
              <w:t>d</w:t>
            </w:r>
            <w:r>
              <w:rPr>
                <w:sz w:val="16"/>
              </w:rPr>
              <w:t xml:space="preserve">zylinder, Eimer oder in Schalen mit Seifenlauge gelegt und anschließend mit Wasser ausgespült. </w:t>
            </w:r>
          </w:p>
          <w:p w:rsidR="00F56BB1" w:rsidRDefault="00F56BB1">
            <w:pPr>
              <w:pStyle w:val="BA20-Feld0"/>
              <w:numPr>
                <w:ilvl w:val="0"/>
                <w:numId w:val="28"/>
              </w:numPr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  <w:t>Bei Experimenten mit anderen Mikroorganismen werden die benutzten Pipetten sofort nach dem Benutzen in eine 70%ige Alkohollösung (z. B. Isopropanol) eintauchen und durch mehrmaliges Hochziehen der Flüssigkeit auch den Innenteil b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handeln. Danach werden die Pipetten in Sterilseifenlösung gereinigt. Alle anderen Glasgeräte (Reagenzgläser z. B. aus der Verdünnungsreihe, Erlenmeyerkolben z. B. aus der ÜNK werden im  Autoklav bei ca. 120°C 30 Minuten sterilisiert und dann erst normal gewaschen. Benutzte Drigalski-Spatel werden durch Abflammen im Bunsenbrenner sterilisiert. Impfösen werden im Bunsenbrenner ausgeglüht.</w:t>
            </w:r>
          </w:p>
          <w:p w:rsidR="00F56BB1" w:rsidRDefault="00F56BB1">
            <w:pPr>
              <w:pStyle w:val="BA20-Feld0"/>
              <w:numPr>
                <w:ilvl w:val="0"/>
                <w:numId w:val="28"/>
              </w:numPr>
              <w:spacing w:before="0" w:after="0"/>
              <w:jc w:val="left"/>
              <w:rPr>
                <w:color w:val="000000"/>
                <w:sz w:val="16"/>
              </w:rPr>
            </w:pPr>
            <w:r>
              <w:rPr>
                <w:sz w:val="16"/>
              </w:rPr>
              <w:t>Sämtliche kontaminierten Wegwerf-Abfälle in den gekennzeichneten Abfallbehältern sammeln und autoklavieren.</w:t>
            </w:r>
            <w:r>
              <w:rPr>
                <w:sz w:val="18"/>
              </w:rPr>
              <w:t xml:space="preserve"> </w:t>
            </w:r>
          </w:p>
        </w:tc>
      </w:tr>
    </w:tbl>
    <w:p w:rsidR="00F56BB1" w:rsidRDefault="00F56BB1">
      <w:pPr>
        <w:pStyle w:val="Zeichnung"/>
        <w:spacing w:before="0" w:after="0"/>
        <w:jc w:val="left"/>
        <w:rPr>
          <w:sz w:val="12"/>
        </w:rPr>
      </w:pPr>
      <w:r>
        <w:rPr>
          <w:sz w:val="12"/>
        </w:rPr>
        <w:t xml:space="preserve">Schüler und Lehrkräfte, die mit Arbeitsstoffen der </w:t>
      </w:r>
      <w:bookmarkEnd w:id="0"/>
      <w:r>
        <w:rPr>
          <w:sz w:val="12"/>
        </w:rPr>
        <w:t>Risikogruppe 1 arbeiten, sind anhand dieser Betriebsanweisung jährlich zu belehren. Die B</w:t>
      </w:r>
      <w:r>
        <w:rPr>
          <w:sz w:val="12"/>
        </w:rPr>
        <w:t>e</w:t>
      </w:r>
      <w:r>
        <w:rPr>
          <w:sz w:val="12"/>
        </w:rPr>
        <w:t>lehrung ist namentlich zu dokumentieren.</w:t>
      </w:r>
    </w:p>
    <w:sectPr w:rsidR="00F56BB1">
      <w:pgSz w:w="11907" w:h="16840"/>
      <w:pgMar w:top="426" w:right="851" w:bottom="28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AD2"/>
    <w:multiLevelType w:val="singleLevel"/>
    <w:tmpl w:val="61B84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A030DF"/>
    <w:multiLevelType w:val="hybridMultilevel"/>
    <w:tmpl w:val="310278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66C05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974A4"/>
    <w:multiLevelType w:val="hybridMultilevel"/>
    <w:tmpl w:val="F0AEC5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11A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26A95530"/>
    <w:multiLevelType w:val="hybridMultilevel"/>
    <w:tmpl w:val="D98ED40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B1DE9"/>
    <w:multiLevelType w:val="hybridMultilevel"/>
    <w:tmpl w:val="5E7AE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322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BB32285"/>
    <w:multiLevelType w:val="hybridMultilevel"/>
    <w:tmpl w:val="168C78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E2D1A"/>
    <w:multiLevelType w:val="hybridMultilevel"/>
    <w:tmpl w:val="FD346C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50C30"/>
    <w:multiLevelType w:val="hybridMultilevel"/>
    <w:tmpl w:val="81A884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2269E"/>
    <w:multiLevelType w:val="hybridMultilevel"/>
    <w:tmpl w:val="710C3A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86CA8"/>
    <w:multiLevelType w:val="hybridMultilevel"/>
    <w:tmpl w:val="54E68B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80792"/>
    <w:multiLevelType w:val="hybridMultilevel"/>
    <w:tmpl w:val="53DC8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713EB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1503D5"/>
    <w:multiLevelType w:val="singleLevel"/>
    <w:tmpl w:val="5212E568"/>
    <w:lvl w:ilvl="0">
      <w:start w:val="1"/>
      <w:numFmt w:val="bullet"/>
      <w:pStyle w:val="EinzugGl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1A67D0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922C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DC53D6E"/>
    <w:multiLevelType w:val="hybridMultilevel"/>
    <w:tmpl w:val="B5EED9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E61FB"/>
    <w:multiLevelType w:val="hybridMultilevel"/>
    <w:tmpl w:val="27CE86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A2669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DD905F2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B2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3DF219D"/>
    <w:multiLevelType w:val="singleLevel"/>
    <w:tmpl w:val="61B84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93004F"/>
    <w:multiLevelType w:val="hybridMultilevel"/>
    <w:tmpl w:val="FB4082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EC2C86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7804C12"/>
    <w:multiLevelType w:val="hybridMultilevel"/>
    <w:tmpl w:val="0C14C7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96E23"/>
    <w:multiLevelType w:val="hybridMultilevel"/>
    <w:tmpl w:val="26BEAC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0"/>
  </w:num>
  <w:num w:numId="5">
    <w:abstractNumId w:val="25"/>
  </w:num>
  <w:num w:numId="6">
    <w:abstractNumId w:val="20"/>
  </w:num>
  <w:num w:numId="7">
    <w:abstractNumId w:val="14"/>
  </w:num>
  <w:num w:numId="8">
    <w:abstractNumId w:val="16"/>
  </w:num>
  <w:num w:numId="9">
    <w:abstractNumId w:val="21"/>
  </w:num>
  <w:num w:numId="10">
    <w:abstractNumId w:val="8"/>
  </w:num>
  <w:num w:numId="11">
    <w:abstractNumId w:val="26"/>
  </w:num>
  <w:num w:numId="12">
    <w:abstractNumId w:val="6"/>
  </w:num>
  <w:num w:numId="13">
    <w:abstractNumId w:val="18"/>
  </w:num>
  <w:num w:numId="14">
    <w:abstractNumId w:val="15"/>
  </w:num>
  <w:num w:numId="15">
    <w:abstractNumId w:val="7"/>
  </w:num>
  <w:num w:numId="16">
    <w:abstractNumId w:val="17"/>
  </w:num>
  <w:num w:numId="17">
    <w:abstractNumId w:val="4"/>
  </w:num>
  <w:num w:numId="18">
    <w:abstractNumId w:val="12"/>
  </w:num>
  <w:num w:numId="19">
    <w:abstractNumId w:val="27"/>
  </w:num>
  <w:num w:numId="20">
    <w:abstractNumId w:val="9"/>
  </w:num>
  <w:num w:numId="21">
    <w:abstractNumId w:val="10"/>
  </w:num>
  <w:num w:numId="22">
    <w:abstractNumId w:val="3"/>
  </w:num>
  <w:num w:numId="23">
    <w:abstractNumId w:val="13"/>
  </w:num>
  <w:num w:numId="24">
    <w:abstractNumId w:val="24"/>
  </w:num>
  <w:num w:numId="25">
    <w:abstractNumId w:val="5"/>
  </w:num>
  <w:num w:numId="26">
    <w:abstractNumId w:val="19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2B"/>
    <w:rsid w:val="0047602C"/>
    <w:rsid w:val="00F56BB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193C3A-F116-4DBC-84A2-61127E4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  <w:sz w:val="96"/>
    </w:rPr>
  </w:style>
  <w:style w:type="paragraph" w:styleId="berschrift2">
    <w:name w:val="heading 2"/>
    <w:basedOn w:val="Standard"/>
    <w:next w:val="Standard"/>
    <w:qFormat/>
    <w:pPr>
      <w:keepNext/>
      <w:spacing w:before="0" w:after="0"/>
      <w:jc w:val="center"/>
      <w:outlineLvl w:val="1"/>
    </w:pPr>
    <w:rPr>
      <w:b/>
      <w:spacing w:val="6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customStyle="1" w:styleId="Kopf">
    <w:name w:val="Kopf"/>
    <w:basedOn w:val="Standard"/>
    <w:pPr>
      <w:spacing w:before="0" w:after="360"/>
    </w:pPr>
    <w:rPr>
      <w:rFonts w:ascii="Times New Roman" w:hAnsi="Times New Roman"/>
      <w:sz w:val="24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  <w:style w:type="paragraph" w:customStyle="1" w:styleId="Text">
    <w:name w:val="Text"/>
    <w:basedOn w:val="Standard"/>
    <w:pPr>
      <w:spacing w:before="120" w:after="120"/>
      <w:ind w:left="851" w:right="284" w:hanging="567"/>
    </w:pPr>
    <w:rPr>
      <w:rFonts w:ascii="Times New Roman" w:hAnsi="Times New Roman"/>
      <w:sz w:val="28"/>
    </w:rPr>
  </w:style>
  <w:style w:type="paragraph" w:customStyle="1" w:styleId="zeile">
    <w:name w:val="Üzeile"/>
    <w:basedOn w:val="Text"/>
    <w:pPr>
      <w:numPr>
        <w:ilvl w:val="0"/>
        <w:numId w:val="0"/>
      </w:numPr>
      <w:jc w:val="center"/>
    </w:pPr>
    <w:rPr>
      <w:b/>
      <w:color w:val="FFFFFF"/>
      <w:sz w:val="32"/>
    </w:rPr>
  </w:style>
  <w:style w:type="paragraph" w:customStyle="1" w:styleId="Tabelle">
    <w:name w:val="Tabelle"/>
    <w:basedOn w:val="Text"/>
    <w:pPr>
      <w:numPr>
        <w:ilvl w:val="0"/>
        <w:numId w:val="0"/>
      </w:numPr>
    </w:pPr>
  </w:style>
  <w:style w:type="paragraph" w:customStyle="1" w:styleId="Einzug">
    <w:name w:val="Einzug"/>
    <w:basedOn w:val="Text"/>
    <w:pPr>
      <w:numPr>
        <w:ilvl w:val="0"/>
        <w:numId w:val="0"/>
      </w:numPr>
      <w:tabs>
        <w:tab w:val="left" w:pos="7940"/>
      </w:tabs>
      <w:spacing w:after="0"/>
      <w:ind w:left="113"/>
    </w:pPr>
  </w:style>
  <w:style w:type="paragraph" w:customStyle="1" w:styleId="EinzugGlied">
    <w:name w:val="EinzugGlied"/>
    <w:basedOn w:val="Einzug"/>
    <w:pPr>
      <w:numPr>
        <w:numId w:val="14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/>
    </w:pPr>
    <w:rPr>
      <w:sz w:val="24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before="0" w:after="0"/>
    </w:pPr>
    <w:rPr>
      <w:rFonts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MusterBA\BAbiologischesLabor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BAbiologischesLaborL2.dot</Template>
  <TotalTime>0</TotalTime>
  <Pages>1</Pages>
  <Words>890</Words>
  <Characters>5614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AUG</vt:lpstr>
      <vt:lpstr>AUG</vt:lpstr>
    </vt:vector>
  </TitlesOfParts>
  <Manager/>
  <Company/>
  <LinksUpToDate>false</LinksUpToDate>
  <CharactersWithSpaces>6492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</dc:title>
  <dc:subject/>
  <dc:creator>Dresing, Nils (NLSchB)</dc:creator>
  <cp:keywords/>
  <dc:description/>
  <cp:lastModifiedBy>Dresing, Nils (NLSchB)</cp:lastModifiedBy>
  <cp:revision>2</cp:revision>
  <cp:lastPrinted>2006-05-07T08:54:00Z</cp:lastPrinted>
  <dcterms:created xsi:type="dcterms:W3CDTF">2016-10-14T05:51:00Z</dcterms:created>
  <dcterms:modified xsi:type="dcterms:W3CDTF">2016-10-14T05:51:00Z</dcterms:modified>
  <cp:category/>
</cp:coreProperties>
</file>