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Hebebühne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Quetschgefahr beim Absenken</w:t>
            </w:r>
          </w:p>
          <w:p w:rsidR="005F1949" w:rsidRDefault="005F1949"/>
          <w:p w:rsidR="005F1949" w:rsidRDefault="005F1949"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Verletzungen durch Abstürzen des </w:t>
            </w:r>
            <w:r>
              <w:br/>
              <w:t>angehobenen Fahrzeuges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Totmannschaltung ; Abweiser (120 hoch-150 tief)</w:t>
            </w:r>
            <w:r>
              <w:br/>
              <w:t>oder Schaltleisten erforderlich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Beim Absenken Gefahrenbereich beobachten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Arbeitstägliche Sichtkontrolle der Gelenkarmsicherung und Abrollsicherung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Gummiauflagen der Tragteller prüfen ggf. erneuern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Hebebühne jährlich prüfen (lassen), Prüfbuch führen, festgestellte Mängel beseitigen (lassen)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Bedienung nur durch unterwiesene und beauftragte, mind. 18 Jahre alte Personen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VBG 14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550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ZH1/490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527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Gabelstapler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Verletzung durch Herabfallen der Last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Erkrankung durch Einatmen der Abgase der Verbrennungsmotoren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 xml:space="preserve">Tragfähigkeit des Staplers beachten 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Stapler jährlich prüfen (lassen), Prüfbuch führen</w:t>
            </w:r>
            <w:r>
              <w:br/>
              <w:t>festgestellte Mängel beseitigen (lassen)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Tragen von Schutzschuhen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Bedienung nur durch ausgebildete und schriftlich         beauftragte, mind. 18 Jahre alte Personen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Einsatz von Dieselstapler in geschlossenen Räumen nur mit Rußfilter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Schwefelarmen Dieselkraftstoff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 xml:space="preserve">Durch wirksame Raumlüftung MAK-Werte für </w:t>
            </w:r>
            <w:r>
              <w:br/>
              <w:t>Stickoxide und Kohlenmonoxid einhalten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Unterweisen der Mitarbeiter</w:t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Erstellen einer Betriebsanweisung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D27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BG-12.01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545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BG-7.3.32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EE22F0" w:rsidRDefault="00EE22F0"/>
    <w:p w:rsidR="005F1949" w:rsidRDefault="005F1949"/>
    <w:p w:rsidR="005F1949" w:rsidRDefault="005F1949"/>
    <w:p w:rsidR="005F1949" w:rsidRDefault="005F1949"/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Abgasuntersuchung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Gesundheitsgefährdung durch Einatmen der Abgase der Verbrennungsmotoren</w:t>
            </w:r>
          </w:p>
          <w:p w:rsidR="005F1949" w:rsidRDefault="005F1949">
            <w:pPr>
              <w:ind w:left="283"/>
            </w:pPr>
          </w:p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  <w:r>
              <w:br/>
            </w:r>
          </w:p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Schwerhörigkeit durch gehörgefährdenden Lärm des Motors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Absaugeinrichtung benutzen, auf Wirksamkeit </w:t>
            </w:r>
            <w:r>
              <w:br/>
              <w:t>überprüfen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Auf ausreichende Dimensionierung des Abluftstromes achten (insbes. bei der Diesel-AU), ggf. offene </w:t>
            </w:r>
            <w:r>
              <w:br/>
              <w:t>Ansaugstellen schließen.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 in separatem Prüfraum durchführen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Ab 90 dB(A) geeigneten Gehörschutz zur Verfügung stellen und Benutzung veranlassen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Gehörvorsorgeuntersuchung G20 veranlassen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688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194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A4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Auswuchtmaschine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Verletzungen durch wegfliegende Teile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Betrieb darf nur bei geschlossener Schutzhaube </w:t>
            </w:r>
            <w:r>
              <w:br/>
              <w:t>möglich sein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Funktion des Grenztasters regelmäßig prüfen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/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Arbeiten am Kraftstoffsystem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Brand- und Explosionsgefahr</w:t>
            </w:r>
            <w:r>
              <w:br/>
              <w:t>(auch durch statische Aufladung)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Hautgefährdung durch Kontakt mit Kraftstoff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Vergiftung durch Spritzen des Kraftstoffs unter die Haut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Wenn möglich keine Arbeiten am Kraftstoffsystem über Arbeitsgruben und Unterfluranlagen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Benzintanks nie auslaufen lassen, immer geeignete Pumpe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Ausgelaufenes Benzin sofort aufnehmen, getränktes Putzmaterial in nicht brennbaren, geschlossenen         Behältern sammeln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Zündquellen vermeiden (z.B. Funken von Flex oder        Schweißbrenner)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Rauchverbot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Feuerlöscher und Löschdecke bereithalten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Betriebsanweisung erstellen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Hautkontakt vermeiden und Hautschutzplan erstellen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Wenn möglich, geeignete Handschuhe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Hautschutzmittel und Hautpflegemittel bereitstellen und regelmäßige Verwendung veranlassen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Zum Prüfen der Einspritzdüsen müssen geeignete      Einrichtungen verwendet werden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Den freien Durchgang der Düsen nicht mit den Fingern prüfen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550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546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BG-7.3.14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BG-7.3.33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BG-7.5.21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/>
    <w:p w:rsidR="005F1949" w:rsidRDefault="005F1949"/>
    <w:p w:rsidR="005F1949" w:rsidRDefault="005F1949"/>
    <w:p w:rsidR="005F1949" w:rsidRDefault="005F1949"/>
    <w:p w:rsidR="005F1949" w:rsidRDefault="005F1949"/>
    <w:p w:rsidR="005F1949" w:rsidRDefault="005F1949"/>
    <w:p w:rsidR="005F1949" w:rsidRDefault="005F1949"/>
    <w:p w:rsidR="005F1949" w:rsidRDefault="005F1949"/>
    <w:p w:rsidR="005F1949" w:rsidRDefault="005F1949" w:rsidP="005F1949">
      <w:pPr>
        <w:tabs>
          <w:tab w:val="left" w:pos="1425"/>
        </w:tabs>
      </w:pPr>
      <w:r>
        <w:tab/>
      </w: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Umgang mit Ölen, Bremsflüssigkeit, Frostschutzmittel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Verletzungen durch Ausrutschen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Hauterkrankung durch Kontakt mit Ölen, Bremsflüssigkeiten, Kühlerfrostschutz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Ausgelaufenes Öl sofort aufnehmen, getränktes Putzmaterial in nicht brennbaren, geschlossenen Behältern sammeln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Hautkontakt vermeiden und wenn möglich, geeignete Schutzhandschuhe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Hautschutzplan erstellen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Hautschutz- und Hautpflegemittel bereitstellen und regelmäßige Verwendung veranlassen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 xml:space="preserve">BGR 195 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BG-7.5.21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Arbeiten am Kühlwassersystem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Verbrühungen durch heißes Kühlwasser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Bei Arbeiten am Kühlwassersystem die Vorgaben des Herstellers beachten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Vor Aufnahme der Arbeiten, Druck kontrolliert ablassen, ggf. Motor abkühlen lassen.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Falls möglich, geeignete Schutzhandschuhe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Batterie laden, füllen, prüfen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Explosionsgefahr durch Entstehen von    Knallgas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Verätzungen durch Batteriesäure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Lüftungsöffnungen oder technische Lüftung (beim        Laden vieler Batterien) in Deckenhöhe vorsehen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Säureheber verwenden,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Schutzbrille, Handschuhe und Gummischürze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Augenspüleinrichtung (z.B. Spülflasche) anbringen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  <w:p w:rsidR="005F1949" w:rsidRDefault="005F1949">
            <w:pPr>
              <w:ind w:left="283"/>
            </w:pP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550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546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192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BG-7.3.31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 w:rsidP="005F1949">
      <w:pPr>
        <w:tabs>
          <w:tab w:val="left" w:pos="1425"/>
        </w:tabs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Ein-, Ausbau von Airbag, Gurtstraffer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Explosionsgefahr durch Zünden des        Treibsatzes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Ein- und Ausbauhinweise des Herstellers beachten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Qualifizierte Person für die Durchführung der Arbeit benennen und beauftragen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Umgang dem Gewerbeaufsichtsamt melden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550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Verschrotten / Zünden von Airbag, Gurtstraffer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Verletzungen durch wegfliegende Teile und Verbrennungsgefahr durch Zünden des Treibsatzes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Schädigung des Gehörs durch Knall beim Zünden des Treibsatzes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Zünden im ausgebauten Zustand in geeigneten Behältern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Beim Zünden im Fahrzeug das Fahrzeug weitgehend schließen und kein Aufenthalt im Fahrzeug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Hinweise des Herstellers beachten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Gehörschutz zur Verfügung stellen und Benutzung veranlassen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Erstellen einer Betriebsanweisung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550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194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688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BG-7.3.22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Lagerung von Airbag, Gurtstraffer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Explosionsgefahr durch Zünden des        Treibsatzes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Aufbewahrung in einem Stahlschrank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Kennzeichnung mit Warnzeichen W02 und</w:t>
            </w:r>
            <w:r>
              <w:br/>
              <w:t>Verbotszeichen P02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Feuerlöscher in der Nähe bereithalten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A8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133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 w:rsidP="005F1949">
      <w:pPr>
        <w:tabs>
          <w:tab w:val="left" w:pos="1425"/>
        </w:tabs>
      </w:pPr>
    </w:p>
    <w:p w:rsidR="005F1949" w:rsidRDefault="005F1949" w:rsidP="005F1949">
      <w:pPr>
        <w:tabs>
          <w:tab w:val="left" w:pos="1425"/>
        </w:tabs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Karosseriearbeiten</w:t>
            </w: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Schnittverletzungen durch scharfkantige Blechteile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Schwerhörigkeit durch gehörschädigenden Lärm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Fußverletzungen durch Herabfallen schwerer Teile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Schnittfeste Schutzhandschuhe verwenden</w:t>
            </w:r>
          </w:p>
          <w:p w:rsidR="005F1949" w:rsidRDefault="005F1949">
            <w:pPr>
              <w:ind w:left="283"/>
            </w:pP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Lärmbereich nach Möglichkeit von anderen Arbeitsplätzen trennen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Ab 90 dB(A) geeigneten Gehörschutz zur Verfügung stellen und die Benutzung veranlassen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Gehörvorsorgeuntersuchung G20 veranlassen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Tragen von Schutzschuhen</w:t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194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688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A4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/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Schweißarbeiten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Atemwegserkrankungen durch            Schweißrauche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Brand- und Explosionsgefahr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ind w:left="284" w:hanging="284"/>
            </w:pPr>
            <w:r>
              <w:t>Verblitzen der Augen</w:t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Elektrischer Schlag durch vagabundierende Ströme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O.g. und ggf. weitere Gefährdungen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Verwenden einer Schweißrauchabsaugung</w:t>
            </w:r>
            <w:r>
              <w:br/>
              <w:t>(Ausnahme: täglich wird weniger als 30 Minuten und wöchentlich weniger als zwei Stunden Baustahl an nicht ortsgebundenen Schweißarbeitsplätzen verschweißt)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Technische Lüftungseinrichtungen oder freie Lüftung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Brennbare Gegenständen entfernen oder abdecken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Beseitigung der Gefahr des Entzündens von Kraftstoffdämpfen durch geeignete Maßnahmen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Schweißverbot für Jugendliche in brand- oder explosionsgefährdeten Bereichen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Keine verölte Kleidung tragen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Bei Autogenschweißgerät Sauerstoffarmaturen öl- und fettfrei halten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Schweißerschutzschirm mit richtiger Filterstufe verwenden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Schweißstromrückleitung nur über Werkstück vornehmen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Tägliche Sichtkontrolle aller stromführenden Leitungen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Trockene Schutzhandschuhe und Schutzschuhe benutzen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  <w: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D1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593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553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563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560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157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BGV A2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117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BG-12.09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527</w:t>
            </w: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/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Schleifarbeiten mit Winkelschleifer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Schwerhörigkeit durch gehörschädigenden Lärm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Verletzungsgefahr durch wegfliegende und herunterfallende Teile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Brand- und Explosionsgefahr durch            Funkenflug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Lärm durch technische Maßnahmen so weit wie        möglich reduzieren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Geeigneten Gehörschutz bereitstellen und Benutzung veranlassen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Gehörvorsorgeuntersuchung G20 veranlassen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Schutzhauben an Winkelschleifer richtig einstellen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Bestimmungsgemäße Verwendung der Schleifscheiben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Schutzbrille bereitstellen und Benutzung veranlassen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Schutzschuhe tragen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Kein Schleifen in brand- und ex-gefährdeten Bereichen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Brennbare Gegenstände entfernen oder abdecken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  <w:t>BGV B3</w:t>
            </w:r>
            <w:r>
              <w:rPr>
                <w:sz w:val="16"/>
              </w:rPr>
              <w:br/>
              <w:t>BGI  688</w:t>
            </w:r>
            <w:r>
              <w:rPr>
                <w:sz w:val="16"/>
              </w:rPr>
              <w:br/>
              <w:t>BGR 194</w:t>
            </w:r>
            <w:r>
              <w:rPr>
                <w:sz w:val="16"/>
              </w:rPr>
              <w:br/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  <w:t>BGR 192</w:t>
            </w:r>
            <w:r>
              <w:rPr>
                <w:sz w:val="16"/>
              </w:rPr>
              <w:br/>
              <w:t>BGR 191</w:t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  <w:tr w:rsidR="005F1949" w:rsidTr="005F1949">
        <w:trPr>
          <w:cantSplit/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Entsorgen von</w:t>
            </w:r>
          </w:p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t>Betriebsmitteln und Hilfsstoffen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Hauterkrankung durch Kontakt mit          hautgefährdenden Flüssigkeiten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Brand- und Explosionsgefahr</w:t>
            </w:r>
            <w:r>
              <w:br/>
            </w:r>
            <w:r>
              <w:br/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Hautkontakt vermeiden, geeignete Schutzhandschuhe verwenden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Regelmäßiges Benutzen von Hautschutz- und </w:t>
            </w:r>
            <w:r>
              <w:br/>
              <w:t>Hautpflegemitteln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Brennbare Stoffe in geeigneten geschlossenen </w:t>
            </w:r>
            <w:r>
              <w:br/>
              <w:t>Behältern aufbewahren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Rauchverbot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  <w:t>BGR 195</w:t>
            </w:r>
            <w:r>
              <w:rPr>
                <w:sz w:val="16"/>
              </w:rPr>
              <w:br/>
              <w:t>BGI  550</w:t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BGI  546</w:t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BGI  527</w:t>
            </w:r>
          </w:p>
          <w:p w:rsidR="005F1949" w:rsidRDefault="005F1949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</w:tc>
      </w:tr>
    </w:tbl>
    <w:p w:rsidR="005F1949" w:rsidRDefault="005F1949"/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5F1949" w:rsidTr="005F1949">
        <w:trPr>
          <w:trHeight w:val="70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Arbeiten am Bildschirm</w:t>
            </w: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>
            <w:pPr>
              <w:rPr>
                <w:color w:val="000000"/>
              </w:rPr>
            </w:pPr>
          </w:p>
          <w:p w:rsidR="005F1949" w:rsidRDefault="005F1949"/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lastRenderedPageBreak/>
              <w:t>Augenbeschwerden</w:t>
            </w:r>
          </w:p>
          <w:p w:rsidR="005F1949" w:rsidRDefault="005F1949">
            <w:pPr>
              <w:ind w:left="283"/>
            </w:pPr>
          </w:p>
          <w:p w:rsidR="005F1949" w:rsidRDefault="005F1949">
            <w:pPr>
              <w:numPr>
                <w:ilvl w:val="12"/>
                <w:numId w:val="0"/>
              </w:numPr>
              <w:ind w:left="283" w:hanging="283"/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numPr>
                <w:ilvl w:val="12"/>
                <w:numId w:val="0"/>
              </w:numPr>
            </w:pPr>
          </w:p>
          <w:p w:rsidR="005F1949" w:rsidRDefault="005F1949">
            <w:pPr>
              <w:pStyle w:val="Umschlagabsenderadresse"/>
            </w:pPr>
          </w:p>
          <w:p w:rsidR="005F1949" w:rsidRDefault="005F1949"/>
          <w:p w:rsidR="005F1949" w:rsidRDefault="005F1949"/>
          <w:p w:rsidR="005F1949" w:rsidRDefault="005F1949"/>
          <w:p w:rsidR="005F1949" w:rsidRDefault="005F1949">
            <w:pPr>
              <w:spacing w:after="120"/>
            </w:pPr>
          </w:p>
          <w:p w:rsidR="005F1949" w:rsidRDefault="005F1949" w:rsidP="004B3787">
            <w:pPr>
              <w:numPr>
                <w:ilvl w:val="0"/>
                <w:numId w:val="2"/>
              </w:numPr>
            </w:pPr>
            <w:r>
              <w:t>Erkrankungen oder Beschwerden des             Muskel- und Skelettsystems</w:t>
            </w:r>
          </w:p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lastRenderedPageBreak/>
              <w:t>Blendungen, Reflexionen und Spiegelungen durch matte Oberflächen vermeiden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Beleuchtungskörper parallel zum Fenster anbringen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Schutz gegen Sonneneinstrahlung durch senkrechte Textillamellen, auf Südseite zusätzlich horizontale       Metalljalousien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Aufstellen des Bildschirmes so, dass Blickrichtung   parallel zum Fenster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Positiv-(dunkle Zeichen auf hellem Grund) und           kontrastreiche Bildschirmdarstellung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Bildwiederholfrequenz bei 15-Zoll-Bildschirmen 85 Hz, bei 17-Zoll-Bildschirmen ca. 90 Hz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Bildschirmgröße bei Windows und Textverarbeitung    17 Zoll, bei Bildverarbeitung 21 Zoll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Unterbrechen der Bildschirmarbeiten durch andere      Tätigkeiten oder Pausen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Ggf. Vorsorgeuntersuchung G37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Bürostuhl nach DIN, mit fünf gebremsten Rollen,       Sitzfläche oberschenkellang, höhenverstellbar,           Lehne bis Mitte Schulterblatt, Lendenunterstützung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Tischhöhe ca. 72 – 75 cm, wenn höhenverstellbar, dann 68 – 76 cm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Ggf. Verwenden eines Sitzkeils und einer Fußstütze für kleine Mitarbeiter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Bildschirm leicht dreh- und neigbar ausgeführt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Tastatur getrennt vom Bildschirm, Auflagemöglichkeit für Handballen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 xml:space="preserve">Einstellen von Stuhl- und Tischhöhe oder Verwendung von Fußstütze so, dass Winkel zwischen Ober- und </w:t>
            </w:r>
            <w:r>
              <w:lastRenderedPageBreak/>
              <w:t>Unterschenkel sowie Ober- und Unterarm ca. 90° ist</w:t>
            </w:r>
            <w:r>
              <w:br/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Beinfreiheit</w:t>
            </w:r>
          </w:p>
          <w:p w:rsidR="005F1949" w:rsidRDefault="005F1949" w:rsidP="004B3787">
            <w:pPr>
              <w:numPr>
                <w:ilvl w:val="0"/>
                <w:numId w:val="1"/>
              </w:numPr>
            </w:pPr>
            <w:r>
              <w:t>Blickwinkel zwischen Schreibvorlage und Bildschirm gering halten (z.B. Anbringen eines Vorlagenhalters)</w:t>
            </w:r>
          </w:p>
          <w:p w:rsidR="005F1949" w:rsidRDefault="005F1949" w:rsidP="004B3787">
            <w:pPr>
              <w:numPr>
                <w:ilvl w:val="0"/>
                <w:numId w:val="3"/>
              </w:numPr>
            </w:pPr>
            <w:r>
              <w:t>Dynamisches Sitzen (häufige Veränderungen der Sitzposition)</w:t>
            </w:r>
          </w:p>
          <w:p w:rsidR="005F1949" w:rsidRDefault="005F1949" w:rsidP="004B3787">
            <w:pPr>
              <w:numPr>
                <w:ilvl w:val="0"/>
                <w:numId w:val="3"/>
              </w:numPr>
            </w:pPr>
            <w:r>
              <w:t>Häufige und längere Dateneingabe durch Pausen oder andere Tätigkeiten unterbrechen</w:t>
            </w:r>
          </w:p>
          <w:p w:rsidR="005F1949" w:rsidRDefault="005F1949"/>
          <w:p w:rsidR="005F1949" w:rsidRDefault="005F1949"/>
          <w:p w:rsidR="005F1949" w:rsidRDefault="005F194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742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ZH 1/535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650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ZH 1/618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504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ZH 1/535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742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650</w:t>
            </w:r>
          </w:p>
          <w:p w:rsidR="005F1949" w:rsidRDefault="005F1949">
            <w:pPr>
              <w:rPr>
                <w:sz w:val="16"/>
              </w:rPr>
            </w:pPr>
            <w:r>
              <w:rPr>
                <w:sz w:val="16"/>
              </w:rPr>
              <w:t>BGI  523</w:t>
            </w: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  <w:p w:rsidR="005F1949" w:rsidRDefault="005F194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  <w:p w:rsidR="005F1949" w:rsidRDefault="005F1949"/>
        </w:tc>
      </w:tr>
    </w:tbl>
    <w:p w:rsidR="005F1949" w:rsidRDefault="005F1949" w:rsidP="005F1949"/>
    <w:p w:rsidR="005F1949" w:rsidRDefault="005F1949">
      <w:bookmarkStart w:id="0" w:name="_GoBack"/>
      <w:bookmarkEnd w:id="0"/>
    </w:p>
    <w:sectPr w:rsidR="005F1949" w:rsidSect="005F194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49" w:rsidRDefault="005F1949" w:rsidP="005F1949">
      <w:r>
        <w:separator/>
      </w:r>
    </w:p>
  </w:endnote>
  <w:endnote w:type="continuationSeparator" w:id="0">
    <w:p w:rsidR="005F1949" w:rsidRDefault="005F1949" w:rsidP="005F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49" w:rsidRPr="005F1949" w:rsidRDefault="005F1949" w:rsidP="005F1949">
    <w:pPr>
      <w:tabs>
        <w:tab w:val="center" w:pos="4536"/>
        <w:tab w:val="right" w:pos="9072"/>
      </w:tabs>
    </w:pPr>
  </w:p>
  <w:p w:rsidR="005F1949" w:rsidRPr="005F1949" w:rsidRDefault="005F1949" w:rsidP="005F1949"/>
  <w:p w:rsidR="005F1949" w:rsidRPr="005F1949" w:rsidRDefault="005F1949" w:rsidP="005F1949">
    <w:pPr>
      <w:framePr w:wrap="around" w:vAnchor="text" w:hAnchor="margin" w:xAlign="right" w:y="1"/>
      <w:tabs>
        <w:tab w:val="center" w:pos="4536"/>
        <w:tab w:val="right" w:pos="9072"/>
      </w:tabs>
    </w:pPr>
  </w:p>
  <w:p w:rsidR="005F1949" w:rsidRPr="005F1949" w:rsidRDefault="005F1949" w:rsidP="005F1949">
    <w:pPr>
      <w:tabs>
        <w:tab w:val="center" w:pos="4536"/>
        <w:tab w:val="right" w:pos="9072"/>
      </w:tabs>
      <w:ind w:right="360"/>
    </w:pPr>
  </w:p>
  <w:p w:rsidR="005F1949" w:rsidRPr="005F1949" w:rsidRDefault="005F1949" w:rsidP="005F1949"/>
  <w:p w:rsidR="005F1949" w:rsidRPr="005F1949" w:rsidRDefault="005F1949" w:rsidP="005F1949">
    <w:pPr>
      <w:framePr w:wrap="around" w:vAnchor="text" w:hAnchor="margin" w:xAlign="right" w:y="1"/>
      <w:tabs>
        <w:tab w:val="center" w:pos="4536"/>
        <w:tab w:val="right" w:pos="9072"/>
      </w:tabs>
    </w:pPr>
    <w:r w:rsidRPr="005F1949">
      <w:fldChar w:fldCharType="begin"/>
    </w:r>
    <w:r w:rsidRPr="005F1949">
      <w:instrText xml:space="preserve">PAGE  </w:instrText>
    </w:r>
    <w:r w:rsidRPr="005F1949">
      <w:fldChar w:fldCharType="separate"/>
    </w:r>
    <w:r>
      <w:rPr>
        <w:noProof/>
      </w:rPr>
      <w:t>5</w:t>
    </w:r>
    <w:r w:rsidRPr="005F1949">
      <w:fldChar w:fldCharType="end"/>
    </w:r>
  </w:p>
  <w:p w:rsidR="005F1949" w:rsidRDefault="005F1949" w:rsidP="005F1949">
    <w:pPr>
      <w:tabs>
        <w:tab w:val="center" w:pos="7088"/>
        <w:tab w:val="right" w:pos="9072"/>
      </w:tabs>
      <w:ind w:right="360"/>
    </w:pPr>
    <w:r w:rsidRPr="005F1949">
      <w:rPr>
        <w:sz w:val="18"/>
      </w:rPr>
      <w:t>04werkst.doc</w:t>
    </w:r>
    <w:r w:rsidRPr="005F194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49" w:rsidRDefault="005F1949" w:rsidP="005F1949">
      <w:r>
        <w:separator/>
      </w:r>
    </w:p>
  </w:footnote>
  <w:footnote w:type="continuationSeparator" w:id="0">
    <w:p w:rsidR="005F1949" w:rsidRDefault="005F1949" w:rsidP="005F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54"/>
    </w:tblGrid>
    <w:tr w:rsidR="005F1949" w:rsidRPr="005F1949" w:rsidTr="004B3787">
      <w:trPr>
        <w:trHeight w:val="360"/>
        <w:tblHeader/>
      </w:trPr>
      <w:tc>
        <w:tcPr>
          <w:tcW w:w="1495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hideMark/>
        </w:tcPr>
        <w:p w:rsidR="005F1949" w:rsidRPr="005F1949" w:rsidRDefault="005F1949" w:rsidP="005F1949">
          <w:pPr>
            <w:jc w:val="center"/>
            <w:rPr>
              <w:b/>
              <w:sz w:val="28"/>
            </w:rPr>
          </w:pPr>
          <w:r w:rsidRPr="005F1949">
            <w:rPr>
              <w:b/>
              <w:sz w:val="28"/>
            </w:rPr>
            <w:t>Gefährdungsbeurteilung und festgelegte Schutzmaßnahmen nach ArbSchG § 6</w:t>
          </w:r>
        </w:p>
      </w:tc>
    </w:tr>
    <w:tr w:rsidR="005F1949" w:rsidRPr="005F1949" w:rsidTr="004B3787">
      <w:trPr>
        <w:trHeight w:val="360"/>
        <w:tblHeader/>
      </w:trPr>
      <w:tc>
        <w:tcPr>
          <w:tcW w:w="1495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5F1949" w:rsidRPr="005F1949" w:rsidRDefault="005F1949" w:rsidP="005F1949">
          <w:pPr>
            <w:rPr>
              <w:sz w:val="24"/>
            </w:rPr>
          </w:pPr>
          <w:r w:rsidRPr="005F1949">
            <w:rPr>
              <w:sz w:val="24"/>
            </w:rPr>
            <w:t xml:space="preserve">Arbeitsbereich:     </w:t>
          </w:r>
          <w:r w:rsidRPr="005F1949">
            <w:rPr>
              <w:b/>
              <w:sz w:val="24"/>
            </w:rPr>
            <w:t>Werkstatt</w:t>
          </w:r>
          <w:r w:rsidRPr="005F1949">
            <w:rPr>
              <w:sz w:val="24"/>
            </w:rPr>
            <w:t xml:space="preserve">                              Verantwortlicher:                                    Datum:                        gültig bis:</w:t>
          </w:r>
        </w:p>
      </w:tc>
    </w:tr>
  </w:tbl>
  <w:p w:rsidR="005F1949" w:rsidRPr="005F1949" w:rsidRDefault="005F1949" w:rsidP="005F1949">
    <w:pPr>
      <w:tabs>
        <w:tab w:val="center" w:pos="4536"/>
        <w:tab w:val="right" w:pos="9072"/>
      </w:tabs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86"/>
      <w:gridCol w:w="4464"/>
      <w:gridCol w:w="5387"/>
      <w:gridCol w:w="708"/>
      <w:gridCol w:w="1134"/>
      <w:gridCol w:w="1276"/>
    </w:tblGrid>
    <w:tr w:rsidR="005F1949" w:rsidRPr="005F1949" w:rsidTr="004B3787">
      <w:trPr>
        <w:trHeight w:val="600"/>
        <w:tblHeader/>
      </w:trPr>
      <w:tc>
        <w:tcPr>
          <w:tcW w:w="1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hideMark/>
        </w:tcPr>
        <w:p w:rsidR="005F1949" w:rsidRPr="005F1949" w:rsidRDefault="005F1949" w:rsidP="005F1949">
          <w:r w:rsidRPr="005F1949">
            <w:t>Tätigkeit</w:t>
          </w:r>
        </w:p>
        <w:p w:rsidR="005F1949" w:rsidRPr="005F1949" w:rsidRDefault="005F1949" w:rsidP="005F1949">
          <w:r w:rsidRPr="005F1949">
            <w:t>(an/in/mit)</w:t>
          </w:r>
        </w:p>
      </w:tc>
      <w:tc>
        <w:tcPr>
          <w:tcW w:w="446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F1949" w:rsidRPr="005F1949" w:rsidRDefault="005F1949" w:rsidP="005F1949">
          <w:r w:rsidRPr="005F1949">
            <w:t>Gefährdung</w:t>
          </w:r>
        </w:p>
      </w:tc>
      <w:tc>
        <w:tcPr>
          <w:tcW w:w="538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F1949" w:rsidRPr="005F1949" w:rsidRDefault="005F1949" w:rsidP="005F1949">
          <w:r w:rsidRPr="005F1949">
            <w:t>Schutzmaßnahme</w:t>
          </w: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F1949" w:rsidRPr="005F1949" w:rsidRDefault="005F1949" w:rsidP="005F1949">
          <w:pPr>
            <w:jc w:val="center"/>
            <w:rPr>
              <w:sz w:val="16"/>
            </w:rPr>
          </w:pPr>
          <w:r w:rsidRPr="005F1949">
            <w:rPr>
              <w:sz w:val="16"/>
            </w:rPr>
            <w:t>Hand-lungs-bedarf?</w:t>
          </w:r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F1949" w:rsidRPr="005F1949" w:rsidRDefault="005F1949" w:rsidP="005F1949">
          <w:r w:rsidRPr="005F1949">
            <w:t>weitere Infos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hideMark/>
        </w:tcPr>
        <w:p w:rsidR="005F1949" w:rsidRPr="005F1949" w:rsidRDefault="005F1949" w:rsidP="005F1949">
          <w:r w:rsidRPr="005F1949">
            <w:t>Realisierung</w:t>
          </w:r>
        </w:p>
        <w:p w:rsidR="005F1949" w:rsidRPr="005F1949" w:rsidRDefault="005F1949" w:rsidP="005F1949">
          <w:r w:rsidRPr="005F1949">
            <w:t>wer/wann</w:t>
          </w:r>
        </w:p>
      </w:tc>
    </w:tr>
  </w:tbl>
  <w:p w:rsidR="005F1949" w:rsidRDefault="005F19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3A7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314AF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9"/>
    <w:rsid w:val="005F1949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E516-1CDC-44C3-B7D1-03FDA0F1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9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9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949"/>
  </w:style>
  <w:style w:type="paragraph" w:styleId="Fuzeile">
    <w:name w:val="footer"/>
    <w:basedOn w:val="Standard"/>
    <w:link w:val="FuzeileZchn"/>
    <w:uiPriority w:val="99"/>
    <w:unhideWhenUsed/>
    <w:rsid w:val="005F19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949"/>
  </w:style>
  <w:style w:type="paragraph" w:styleId="Umschlagabsenderadresse">
    <w:name w:val="envelope return"/>
    <w:basedOn w:val="Standard"/>
    <w:semiHidden/>
    <w:unhideWhenUsed/>
    <w:rsid w:val="005F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70FB25DE.dotm</Template>
  <TotalTime>0</TotalTime>
  <Pages>11</Pages>
  <Words>1473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2016-10-13T11:41:00Z</dcterms:created>
  <dcterms:modified xsi:type="dcterms:W3CDTF">2016-10-13T11:47:00Z</dcterms:modified>
</cp:coreProperties>
</file>